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72C50" w14:textId="77777777" w:rsidR="00572D55" w:rsidRDefault="00572D55" w:rsidP="00572D55">
      <w:pPr>
        <w:pStyle w:val="Heading1"/>
      </w:pPr>
      <w:r>
        <w:t>Sounds of conflict</w:t>
      </w:r>
    </w:p>
    <w:p w14:paraId="1C2BA602" w14:textId="26051334" w:rsidR="00572D55" w:rsidRDefault="00572D55" w:rsidP="00572D55">
      <w:r>
        <w:t>These activities look at the bombing of civilian areas in Sana’a, Yemen</w:t>
      </w:r>
      <w:r w:rsidR="008C3486">
        <w:t>, in May 2018</w:t>
      </w:r>
      <w:r>
        <w:t xml:space="preserve">. Please view our guidance on </w:t>
      </w:r>
      <w:hyperlink r:id="rId9" w:history="1">
        <w:r w:rsidRPr="00891B27">
          <w:rPr>
            <w:rStyle w:val="Hyperlink"/>
            <w:rFonts w:eastAsiaTheme="majorEastAsia"/>
          </w:rPr>
          <w:t xml:space="preserve">creating </w:t>
        </w:r>
        <w:r w:rsidR="008C3486">
          <w:rPr>
            <w:rStyle w:val="Hyperlink"/>
            <w:rFonts w:eastAsiaTheme="majorEastAsia"/>
          </w:rPr>
          <w:t>a safe, inclusive and supportive</w:t>
        </w:r>
        <w:r w:rsidRPr="00891B27">
          <w:rPr>
            <w:rStyle w:val="Hyperlink"/>
            <w:rFonts w:eastAsiaTheme="majorEastAsia"/>
          </w:rPr>
          <w:t xml:space="preserve"> learning environment</w:t>
        </w:r>
      </w:hyperlink>
      <w:r>
        <w:t xml:space="preserve">, as some learners may need support given the topic content.  </w:t>
      </w:r>
    </w:p>
    <w:p w14:paraId="362F068B" w14:textId="77777777" w:rsidR="00845528" w:rsidRDefault="00845528" w:rsidP="00EA0786"/>
    <w:p w14:paraId="2A766F8C" w14:textId="04A81379"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005875AB">
        <w:rPr>
          <w:shd w:val="clear" w:color="auto" w:fill="FFFFFF"/>
        </w:rPr>
        <w:t>11–19</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7930FE15" w14:textId="1C12772D" w:rsidR="00572D55" w:rsidRDefault="008C3486" w:rsidP="00572D55">
      <w:pPr>
        <w:pStyle w:val="Heading2"/>
      </w:pPr>
      <w:r>
        <w:t>“The sound was horrific”</w:t>
      </w:r>
    </w:p>
    <w:p w14:paraId="158B7FA0" w14:textId="2B791D43" w:rsidR="00572D55" w:rsidRDefault="00572D55" w:rsidP="008C3486">
      <w:pPr>
        <w:jc w:val="both"/>
      </w:pPr>
      <w:r>
        <w:t>"The sound was horrific. Nothing like what I have heard before. I was so scared … I did not know how to comfort [my family].”</w:t>
      </w:r>
      <w:r>
        <w:rPr>
          <w:rStyle w:val="FootnoteReference"/>
        </w:rPr>
        <w:footnoteReference w:id="1"/>
      </w:r>
      <w:r>
        <w:t xml:space="preserve">  </w:t>
      </w:r>
    </w:p>
    <w:p w14:paraId="25340FC5" w14:textId="77777777" w:rsidR="00572D55" w:rsidRDefault="00572D55" w:rsidP="008C3486">
      <w:pPr>
        <w:pStyle w:val="YSBODYCOPY"/>
        <w:jc w:val="both"/>
      </w:pPr>
    </w:p>
    <w:p w14:paraId="127CC25C" w14:textId="77777777" w:rsidR="00572D55" w:rsidRDefault="00572D55" w:rsidP="008C3486">
      <w:pPr>
        <w:jc w:val="both"/>
      </w:pPr>
      <w:r>
        <w:t>Display the quotation in the PowerPoint. Invite the learners to share how this quote makes them feel.</w:t>
      </w:r>
      <w:r w:rsidDel="007853EB">
        <w:t xml:space="preserve"> </w:t>
      </w:r>
    </w:p>
    <w:p w14:paraId="196A3A03" w14:textId="77777777" w:rsidR="00572D55" w:rsidRDefault="00572D55" w:rsidP="00572D55"/>
    <w:p w14:paraId="57390AFA" w14:textId="77777777" w:rsidR="00572D55" w:rsidRDefault="00572D55" w:rsidP="008C3486">
      <w:pPr>
        <w:jc w:val="both"/>
      </w:pPr>
      <w:r>
        <w:t xml:space="preserve">The speaker, Abu Mohammed, lives in Sana'a, the capital of Yemen. He was speaking after intensive airstrikes struck densely populated areas of the city. The International Committee of the Red Cross reported that at least five civilians were killed, including one child, and dozens were injured. </w:t>
      </w:r>
    </w:p>
    <w:p w14:paraId="1B403259" w14:textId="77777777" w:rsidR="00572D55" w:rsidRDefault="00572D55" w:rsidP="00572D55"/>
    <w:p w14:paraId="42670491" w14:textId="77777777" w:rsidR="00572D55" w:rsidRDefault="00572D55" w:rsidP="00572D55">
      <w:r>
        <w:t>Ask learners to consider the following:</w:t>
      </w:r>
    </w:p>
    <w:p w14:paraId="08D84F16" w14:textId="77777777" w:rsidR="00572D55" w:rsidRDefault="00572D55" w:rsidP="00572D55"/>
    <w:p w14:paraId="05271029" w14:textId="77777777" w:rsidR="00572D55" w:rsidRPr="00572D55" w:rsidRDefault="00572D55" w:rsidP="00572D55">
      <w:pPr>
        <w:pStyle w:val="bulletlist"/>
        <w:rPr>
          <w:sz w:val="22"/>
          <w:szCs w:val="22"/>
        </w:rPr>
      </w:pPr>
      <w:r w:rsidRPr="00572D55">
        <w:rPr>
          <w:sz w:val="22"/>
          <w:szCs w:val="22"/>
        </w:rPr>
        <w:t xml:space="preserve">Have they ever felt confused or disorientated by noise? </w:t>
      </w:r>
    </w:p>
    <w:p w14:paraId="46A3B46F" w14:textId="77777777" w:rsidR="00572D55" w:rsidRPr="00572D55" w:rsidRDefault="00572D55" w:rsidP="00572D55">
      <w:pPr>
        <w:pStyle w:val="bulletlist"/>
        <w:rPr>
          <w:sz w:val="22"/>
          <w:szCs w:val="22"/>
        </w:rPr>
      </w:pPr>
      <w:r w:rsidRPr="00572D55">
        <w:rPr>
          <w:sz w:val="22"/>
          <w:szCs w:val="22"/>
        </w:rPr>
        <w:t xml:space="preserve">What might have been going through Abu’s mind? </w:t>
      </w:r>
    </w:p>
    <w:p w14:paraId="114DE15E" w14:textId="77777777" w:rsidR="00572D55" w:rsidRPr="00572D55" w:rsidRDefault="00572D55" w:rsidP="00572D55">
      <w:pPr>
        <w:pStyle w:val="bulletlist"/>
        <w:rPr>
          <w:sz w:val="22"/>
          <w:szCs w:val="22"/>
        </w:rPr>
      </w:pPr>
      <w:r w:rsidRPr="00572D55">
        <w:rPr>
          <w:sz w:val="22"/>
          <w:szCs w:val="22"/>
        </w:rPr>
        <w:t>Can they imagine being under intensive, unpredictable airstrikes like this?</w:t>
      </w:r>
    </w:p>
    <w:p w14:paraId="73CB7ADC" w14:textId="77777777" w:rsidR="00572D55" w:rsidRDefault="00572D55" w:rsidP="008C3486">
      <w:pPr>
        <w:jc w:val="both"/>
      </w:pPr>
      <w:r>
        <w:t xml:space="preserve">What message would they send Abu Mohammed and his family, to provide him with comfort after an attack like this? </w:t>
      </w:r>
    </w:p>
    <w:p w14:paraId="02FF0087" w14:textId="77777777" w:rsidR="00572D55" w:rsidRDefault="00572D55" w:rsidP="008C3486">
      <w:pPr>
        <w:jc w:val="both"/>
      </w:pPr>
    </w:p>
    <w:p w14:paraId="379DA358" w14:textId="673CD290" w:rsidR="008C3486" w:rsidRDefault="009E2349" w:rsidP="008C3486">
      <w:pPr>
        <w:pStyle w:val="Heading2"/>
      </w:pPr>
      <w:r>
        <w:t>Who/what is protected?</w:t>
      </w:r>
    </w:p>
    <w:p w14:paraId="60352E19" w14:textId="77777777" w:rsidR="00572D55" w:rsidRDefault="00572D55" w:rsidP="008C3486">
      <w:pPr>
        <w:jc w:val="both"/>
      </w:pPr>
      <w:r>
        <w:t xml:space="preserve">Ask learners if they think there should be protections for civilians during armed conflict. </w:t>
      </w:r>
    </w:p>
    <w:p w14:paraId="0BC3FDE2" w14:textId="77777777" w:rsidR="00572D55" w:rsidRDefault="00572D55" w:rsidP="008C3486">
      <w:pPr>
        <w:jc w:val="both"/>
      </w:pPr>
    </w:p>
    <w:p w14:paraId="73366FBD" w14:textId="58E9552F" w:rsidR="00572D55" w:rsidRDefault="00572D55" w:rsidP="008C3486">
      <w:pPr>
        <w:jc w:val="both"/>
      </w:pPr>
      <w:r>
        <w:t xml:space="preserve">Explain that civilians are protected under International Humanitarian Law </w:t>
      </w:r>
      <w:r w:rsidR="00724A76">
        <w:t xml:space="preserve">(IHL) </w:t>
      </w:r>
      <w:r>
        <w:t>or the “rules of war”. These laws promote respect for life and human dignity and offer specific protections for civilians and those no longer involved</w:t>
      </w:r>
      <w:bookmarkStart w:id="0" w:name="_GoBack"/>
      <w:bookmarkEnd w:id="0"/>
      <w:r>
        <w:t xml:space="preserve"> in the fighting. Soldiers may only target military objectives – for example, enemy soldiers, their equipment or their bases – and must never </w:t>
      </w:r>
      <w:r w:rsidRPr="00AB43D2">
        <w:rPr>
          <w:i/>
        </w:rPr>
        <w:t>intentionally</w:t>
      </w:r>
      <w:r>
        <w:t xml:space="preserve"> target civilians, civilian property or objects that civilians need to survive</w:t>
      </w:r>
      <w:r w:rsidRPr="00E8715E">
        <w:t xml:space="preserve"> </w:t>
      </w:r>
      <w:r>
        <w:t>(e.g. farming equipment)</w:t>
      </w:r>
      <w:r w:rsidR="008C3486">
        <w:t>.</w:t>
      </w:r>
    </w:p>
    <w:p w14:paraId="78EF7B7A" w14:textId="77777777" w:rsidR="00572D55" w:rsidRDefault="00572D55" w:rsidP="008C3486">
      <w:pPr>
        <w:jc w:val="both"/>
      </w:pPr>
    </w:p>
    <w:p w14:paraId="0A698CC4" w14:textId="77777777" w:rsidR="00572D55" w:rsidRDefault="00572D55" w:rsidP="008C3486">
      <w:pPr>
        <w:jc w:val="both"/>
      </w:pPr>
      <w:r>
        <w:t>In pairs or small groups, ask learners to think about what else should be protected under international humanitarian law.</w:t>
      </w:r>
    </w:p>
    <w:p w14:paraId="1660E6E2" w14:textId="77777777" w:rsidR="00572D55" w:rsidRDefault="00572D55" w:rsidP="008C3486">
      <w:pPr>
        <w:jc w:val="both"/>
      </w:pPr>
    </w:p>
    <w:p w14:paraId="0E49EC49" w14:textId="2A050AE6" w:rsidR="00572D55" w:rsidRDefault="00572D55" w:rsidP="008C3486">
      <w:pPr>
        <w:jc w:val="both"/>
      </w:pPr>
      <w:r>
        <w:t>Display the PowerPoint slide and ask learners to discuss which of the following are legal or illegal under international humanitarian law:</w:t>
      </w:r>
    </w:p>
    <w:p w14:paraId="44FA5F05" w14:textId="77777777" w:rsidR="00572D55" w:rsidRPr="00572D55" w:rsidRDefault="00572D55" w:rsidP="008C3486">
      <w:pPr>
        <w:pStyle w:val="bulletlist"/>
        <w:jc w:val="both"/>
        <w:rPr>
          <w:sz w:val="22"/>
          <w:szCs w:val="22"/>
        </w:rPr>
      </w:pPr>
      <w:r w:rsidRPr="00572D55">
        <w:rPr>
          <w:b/>
          <w:sz w:val="22"/>
          <w:szCs w:val="22"/>
        </w:rPr>
        <w:lastRenderedPageBreak/>
        <w:t>Shoot at another solider</w:t>
      </w:r>
      <w:r w:rsidRPr="00572D55">
        <w:rPr>
          <w:sz w:val="22"/>
          <w:szCs w:val="22"/>
        </w:rPr>
        <w:t xml:space="preserve"> (Possibly legal – soldiers involved in combat may be targeted, but soldiers who are not in the fight, such as medics and chaplains, must not be targeted – they wear a red cross or red crescent on their uniform to tell everyone that they are not in the fight. Wounded or sick soldiers must also not be targeted.)</w:t>
      </w:r>
    </w:p>
    <w:p w14:paraId="541C2CFD" w14:textId="77777777" w:rsidR="00572D55" w:rsidRPr="00572D55" w:rsidRDefault="00572D55" w:rsidP="008C3486">
      <w:pPr>
        <w:pStyle w:val="bulletlist"/>
        <w:jc w:val="both"/>
        <w:rPr>
          <w:sz w:val="22"/>
          <w:szCs w:val="22"/>
        </w:rPr>
      </w:pPr>
      <w:r w:rsidRPr="00572D55">
        <w:rPr>
          <w:b/>
          <w:sz w:val="22"/>
          <w:szCs w:val="22"/>
        </w:rPr>
        <w:t>Bomb a dam that serves the local community</w:t>
      </w:r>
      <w:r w:rsidRPr="00572D55">
        <w:rPr>
          <w:sz w:val="22"/>
          <w:szCs w:val="22"/>
        </w:rPr>
        <w:t xml:space="preserve"> (Illegal for two reasons – the local community would not have access to water, which they need to survive, and it may be dangerous and cause harm to those downstream.)</w:t>
      </w:r>
    </w:p>
    <w:p w14:paraId="57F6CE82" w14:textId="71EEBE1E" w:rsidR="00572D55" w:rsidRPr="00572D55" w:rsidRDefault="00572D55" w:rsidP="008C3486">
      <w:pPr>
        <w:pStyle w:val="bulletlist"/>
        <w:jc w:val="both"/>
        <w:rPr>
          <w:sz w:val="22"/>
          <w:szCs w:val="22"/>
        </w:rPr>
      </w:pPr>
      <w:r w:rsidRPr="00572D55">
        <w:rPr>
          <w:b/>
          <w:sz w:val="22"/>
          <w:szCs w:val="22"/>
        </w:rPr>
        <w:t>Force civilians from their homes</w:t>
      </w:r>
      <w:r w:rsidRPr="00572D55">
        <w:rPr>
          <w:sz w:val="22"/>
          <w:szCs w:val="22"/>
        </w:rPr>
        <w:t xml:space="preserve"> (Possibly legal – combatants can evacuate people from their homes for a short period of time – for example, if there is fighting going on in a nearby neighbourhood – but they must never force them to</w:t>
      </w:r>
      <w:r w:rsidR="00724A76">
        <w:rPr>
          <w:sz w:val="22"/>
          <w:szCs w:val="22"/>
        </w:rPr>
        <w:t xml:space="preserve"> leave their homes permanently.)</w:t>
      </w:r>
    </w:p>
    <w:p w14:paraId="325D40F2" w14:textId="77777777" w:rsidR="00572D55" w:rsidRPr="00572D55" w:rsidRDefault="00572D55" w:rsidP="008C3486">
      <w:pPr>
        <w:pStyle w:val="bulletlist"/>
        <w:jc w:val="both"/>
        <w:rPr>
          <w:sz w:val="22"/>
          <w:szCs w:val="22"/>
        </w:rPr>
      </w:pPr>
      <w:r w:rsidRPr="00572D55">
        <w:rPr>
          <w:b/>
          <w:sz w:val="22"/>
          <w:szCs w:val="22"/>
        </w:rPr>
        <w:t>Attack an evacuated hospital because opposing military forces are inside</w:t>
      </w:r>
      <w:r w:rsidRPr="00572D55">
        <w:rPr>
          <w:sz w:val="22"/>
          <w:szCs w:val="22"/>
        </w:rPr>
        <w:t xml:space="preserve"> (Possibly legal – the hospital is not being used by civilians or medical personnel and has enemy forces inside, so it could be considered a military target. However, if the hospital is still functional and there is medical equipment inside, then combatants must apply the proportionality rule: would the destruction of a functional hospital cause excessive harm to the civilian population compared to the military advantage of killing the opposing forces? If the answer is yes, then they must not attack it.)</w:t>
      </w:r>
    </w:p>
    <w:p w14:paraId="3E915716" w14:textId="1E2DAA42" w:rsidR="00572D55" w:rsidRPr="00572D55" w:rsidRDefault="00572D55" w:rsidP="008C3486">
      <w:pPr>
        <w:pStyle w:val="bulletlist"/>
        <w:jc w:val="both"/>
        <w:rPr>
          <w:sz w:val="22"/>
          <w:szCs w:val="22"/>
        </w:rPr>
      </w:pPr>
      <w:r w:rsidRPr="00572D55">
        <w:rPr>
          <w:b/>
          <w:sz w:val="22"/>
          <w:szCs w:val="22"/>
        </w:rPr>
        <w:t>Recruiting children aged 13 to fight</w:t>
      </w:r>
      <w:r w:rsidRPr="00572D55">
        <w:rPr>
          <w:sz w:val="22"/>
          <w:szCs w:val="22"/>
        </w:rPr>
        <w:t xml:space="preserve"> (Illegal – children cannot be recruited into armed groups; the minimum recruitment age worldwide is 15 years old </w:t>
      </w:r>
      <w:r w:rsidR="00724A76">
        <w:rPr>
          <w:sz w:val="22"/>
          <w:szCs w:val="22"/>
        </w:rPr>
        <w:t>and in most countries it is 18.)</w:t>
      </w:r>
    </w:p>
    <w:p w14:paraId="68C6B24B" w14:textId="77777777" w:rsidR="00572D55" w:rsidRPr="00572D55" w:rsidRDefault="00572D55" w:rsidP="008C3486">
      <w:pPr>
        <w:pStyle w:val="bulletlist"/>
        <w:jc w:val="both"/>
        <w:rPr>
          <w:sz w:val="22"/>
          <w:szCs w:val="22"/>
        </w:rPr>
      </w:pPr>
      <w:r w:rsidRPr="00572D55">
        <w:rPr>
          <w:b/>
          <w:sz w:val="22"/>
          <w:szCs w:val="22"/>
        </w:rPr>
        <w:t>Attacking an ancient monument, like the Pyramids</w:t>
      </w:r>
      <w:r w:rsidRPr="00572D55">
        <w:rPr>
          <w:sz w:val="22"/>
          <w:szCs w:val="22"/>
        </w:rPr>
        <w:t xml:space="preserve"> (Possibly legal – cultural and heritage buildings and artefacts cannot be targeted under IHL, unless they are being used by the opposing military forces. If that is the case – and only if it is absolutely necessary to attack the monument – combatants must apply the proportionality rule: would the damage to the monument be excessive compared to the advantage of destroying the military objective located inside the monument? If the answer is yes, then they must not attack it.)</w:t>
      </w:r>
    </w:p>
    <w:p w14:paraId="29B2D624" w14:textId="77777777" w:rsidR="00572D55" w:rsidRDefault="00572D55" w:rsidP="008C3486">
      <w:pPr>
        <w:jc w:val="both"/>
      </w:pPr>
      <w:r>
        <w:t>Do any of these surprise them? Are there any other factors that learners think would need to be considered when making a decision in a time of armed conflict?</w:t>
      </w:r>
    </w:p>
    <w:p w14:paraId="1E962063" w14:textId="77777777" w:rsidR="00572D55" w:rsidRDefault="00572D55" w:rsidP="008C3486">
      <w:pPr>
        <w:jc w:val="both"/>
      </w:pPr>
    </w:p>
    <w:p w14:paraId="4CCDF653" w14:textId="77777777" w:rsidR="00572D55" w:rsidRDefault="00572D55" w:rsidP="008C3486">
      <w:pPr>
        <w:jc w:val="both"/>
      </w:pPr>
      <w:r>
        <w:t>Do learners think it is important that there are limits during armed conflict?</w:t>
      </w:r>
    </w:p>
    <w:p w14:paraId="00653D3A" w14:textId="77777777" w:rsidR="00572D55" w:rsidRDefault="00572D55" w:rsidP="008C3486">
      <w:pPr>
        <w:jc w:val="both"/>
      </w:pPr>
    </w:p>
    <w:p w14:paraId="146FA06D" w14:textId="77777777" w:rsidR="00572D55" w:rsidRDefault="00572D55" w:rsidP="008C3486">
      <w:pPr>
        <w:jc w:val="both"/>
      </w:pPr>
      <w:r>
        <w:t xml:space="preserve">For more information and activity ideas, see our </w:t>
      </w:r>
      <w:hyperlink r:id="rId10" w:history="1">
        <w:r w:rsidRPr="000C6DBF">
          <w:rPr>
            <w:rStyle w:val="Hyperlink"/>
            <w:rFonts w:eastAsiaTheme="majorEastAsia"/>
          </w:rPr>
          <w:t>Rules of War</w:t>
        </w:r>
      </w:hyperlink>
      <w:r>
        <w:t xml:space="preserve"> resource, especially session 5: Making Choices, and </w:t>
      </w:r>
      <w:hyperlink r:id="rId11" w:history="1">
        <w:r w:rsidRPr="00891B27">
          <w:rPr>
            <w:rStyle w:val="Hyperlink"/>
            <w:rFonts w:eastAsiaTheme="majorEastAsia"/>
          </w:rPr>
          <w:t>Justice and Fairness</w:t>
        </w:r>
      </w:hyperlink>
      <w:r>
        <w:t xml:space="preserve"> session plans and background information. </w:t>
      </w:r>
    </w:p>
    <w:p w14:paraId="568A4B6F" w14:textId="77777777" w:rsidR="00572D55" w:rsidRDefault="00572D55" w:rsidP="000B1A8E">
      <w:pPr>
        <w:pStyle w:val="YSBODYCOPY"/>
      </w:pPr>
    </w:p>
    <w:sectPr w:rsidR="00572D55" w:rsidSect="00626256">
      <w:headerReference w:type="even" r:id="rId12"/>
      <w:headerReference w:type="default" r:id="rId13"/>
      <w:footerReference w:type="even" r:id="rId14"/>
      <w:footerReference w:type="default" r:id="rId15"/>
      <w:headerReference w:type="first" r:id="rId16"/>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8C3486" w:rsidRDefault="008C3486" w:rsidP="00830B76">
      <w:r>
        <w:separator/>
      </w:r>
    </w:p>
  </w:endnote>
  <w:endnote w:type="continuationSeparator" w:id="0">
    <w:p w14:paraId="72DD481F" w14:textId="77777777" w:rsidR="008C3486" w:rsidRDefault="008C3486"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8C3486" w:rsidRDefault="008C3486"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8C3486" w:rsidRDefault="008C3486"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8C3486" w:rsidRDefault="008C3486"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8C3486" w:rsidRPr="000B1A8E" w:rsidRDefault="008C3486"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9E2349">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8C3486" w:rsidRPr="000B1A8E" w:rsidRDefault="008C3486"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9E2349">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8C3486" w:rsidRPr="000B1A8E" w:rsidRDefault="008C3486" w:rsidP="00823E72">
                          <w:pPr>
                            <w:pStyle w:val="Footer"/>
                            <w:ind w:left="567"/>
                            <w:rPr>
                              <w:sz w:val="18"/>
                              <w:szCs w:val="18"/>
                              <w:lang w:val="en-US"/>
                            </w:rPr>
                          </w:pPr>
                        </w:p>
                        <w:p w14:paraId="35C15DE7" w14:textId="3B49E12B" w:rsidR="008C3486" w:rsidRPr="000B1A8E" w:rsidRDefault="008C3486"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8C3486" w:rsidRPr="000B1A8E" w:rsidRDefault="008C3486"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8C3486" w:rsidRPr="000B1A8E" w:rsidRDefault="008C3486"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8C3486" w:rsidRPr="000B1A8E" w:rsidRDefault="008C3486" w:rsidP="00823E72">
                          <w:pPr>
                            <w:ind w:left="567"/>
                          </w:pPr>
                        </w:p>
                        <w:p w14:paraId="0A382F5D" w14:textId="77777777" w:rsidR="008C3486" w:rsidRPr="000B1A8E" w:rsidRDefault="008C3486"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8C3486" w:rsidRPr="000B1A8E" w:rsidRDefault="008C3486" w:rsidP="00823E72">
                    <w:pPr>
                      <w:pStyle w:val="Footer"/>
                      <w:ind w:left="567"/>
                      <w:rPr>
                        <w:sz w:val="18"/>
                        <w:szCs w:val="18"/>
                        <w:lang w:val="en-US"/>
                      </w:rPr>
                    </w:pPr>
                  </w:p>
                  <w:p w14:paraId="35C15DE7" w14:textId="3B49E12B" w:rsidR="008C3486" w:rsidRPr="000B1A8E" w:rsidRDefault="008C3486"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8C3486" w:rsidRPr="000B1A8E" w:rsidRDefault="008C3486"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8C3486" w:rsidRPr="000B1A8E" w:rsidRDefault="008C3486"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8C3486" w:rsidRPr="000B1A8E" w:rsidRDefault="008C3486" w:rsidP="00823E72">
                    <w:pPr>
                      <w:ind w:left="567"/>
                    </w:pPr>
                  </w:p>
                  <w:p w14:paraId="0A382F5D" w14:textId="77777777" w:rsidR="008C3486" w:rsidRPr="000B1A8E" w:rsidRDefault="008C3486"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8C3486" w:rsidRDefault="008C3486" w:rsidP="00830B76">
      <w:r>
        <w:separator/>
      </w:r>
    </w:p>
  </w:footnote>
  <w:footnote w:type="continuationSeparator" w:id="0">
    <w:p w14:paraId="5B94A290" w14:textId="77777777" w:rsidR="008C3486" w:rsidRDefault="008C3486" w:rsidP="00830B76">
      <w:r>
        <w:continuationSeparator/>
      </w:r>
    </w:p>
  </w:footnote>
  <w:footnote w:id="1">
    <w:p w14:paraId="60646263" w14:textId="776C304C" w:rsidR="008C3486" w:rsidRDefault="008C3486">
      <w:pPr>
        <w:pStyle w:val="FootnoteText"/>
      </w:pPr>
      <w:r>
        <w:rPr>
          <w:rStyle w:val="FootnoteReference"/>
        </w:rPr>
        <w:footnoteRef/>
      </w:r>
      <w:r>
        <w:t xml:space="preserve"> </w:t>
      </w:r>
      <w:r w:rsidRPr="00D36FFB">
        <w:t>https://www.icrc.org/en/document/yemen-icrc-deplores-loss-civilian-life-airstrikes-densely-populated-neighborhoods-sanaa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8C3486" w:rsidRDefault="008C3486">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8C3486" w:rsidRDefault="008C3486" w:rsidP="00823E72">
    <w:pPr>
      <w:pStyle w:val="Header"/>
      <w:tabs>
        <w:tab w:val="clear" w:pos="4320"/>
        <w:tab w:val="clear" w:pos="8640"/>
        <w:tab w:val="left" w:pos="4820"/>
      </w:tabs>
      <w:ind w:left="-1134"/>
      <w:rPr>
        <w:noProof/>
      </w:rPr>
    </w:pPr>
  </w:p>
  <w:p w14:paraId="74A9C924" w14:textId="23A25786" w:rsidR="008C3486" w:rsidRPr="00823E72" w:rsidRDefault="008C3486"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8C3486" w:rsidRDefault="008C3486">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92D89"/>
    <w:multiLevelType w:val="hybridMultilevel"/>
    <w:tmpl w:val="4CE6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C4C9D"/>
    <w:multiLevelType w:val="hybridMultilevel"/>
    <w:tmpl w:val="AB6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8F4A7E"/>
    <w:multiLevelType w:val="hybridMultilevel"/>
    <w:tmpl w:val="34A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F76510B"/>
    <w:multiLevelType w:val="hybridMultilevel"/>
    <w:tmpl w:val="B8E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0A66D0"/>
    <w:multiLevelType w:val="hybridMultilevel"/>
    <w:tmpl w:val="0A70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456511"/>
    <w:multiLevelType w:val="hybridMultilevel"/>
    <w:tmpl w:val="1B0E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10"/>
  </w:num>
  <w:num w:numId="4">
    <w:abstractNumId w:val="7"/>
  </w:num>
  <w:num w:numId="5">
    <w:abstractNumId w:val="6"/>
  </w:num>
  <w:num w:numId="6">
    <w:abstractNumId w:val="4"/>
  </w:num>
  <w:num w:numId="7">
    <w:abstractNumId w:val="20"/>
  </w:num>
  <w:num w:numId="8">
    <w:abstractNumId w:val="15"/>
  </w:num>
  <w:num w:numId="9">
    <w:abstractNumId w:val="22"/>
  </w:num>
  <w:num w:numId="10">
    <w:abstractNumId w:val="5"/>
  </w:num>
  <w:num w:numId="11">
    <w:abstractNumId w:val="27"/>
  </w:num>
  <w:num w:numId="12">
    <w:abstractNumId w:val="0"/>
  </w:num>
  <w:num w:numId="13">
    <w:abstractNumId w:val="11"/>
  </w:num>
  <w:num w:numId="14">
    <w:abstractNumId w:val="26"/>
  </w:num>
  <w:num w:numId="15">
    <w:abstractNumId w:val="23"/>
  </w:num>
  <w:num w:numId="16">
    <w:abstractNumId w:val="25"/>
  </w:num>
  <w:num w:numId="17">
    <w:abstractNumId w:val="14"/>
  </w:num>
  <w:num w:numId="18">
    <w:abstractNumId w:val="13"/>
  </w:num>
  <w:num w:numId="19">
    <w:abstractNumId w:val="8"/>
  </w:num>
  <w:num w:numId="20">
    <w:abstractNumId w:val="12"/>
  </w:num>
  <w:num w:numId="21">
    <w:abstractNumId w:val="3"/>
  </w:num>
  <w:num w:numId="22">
    <w:abstractNumId w:val="21"/>
  </w:num>
  <w:num w:numId="23">
    <w:abstractNumId w:val="9"/>
  </w:num>
  <w:num w:numId="24">
    <w:abstractNumId w:val="17"/>
  </w:num>
  <w:num w:numId="25">
    <w:abstractNumId w:val="2"/>
  </w:num>
  <w:num w:numId="26">
    <w:abstractNumId w:val="16"/>
  </w:num>
  <w:num w:numId="27">
    <w:abstractNumId w:val="1"/>
  </w:num>
  <w:num w:numId="2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468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46CE7"/>
    <w:rsid w:val="00052A22"/>
    <w:rsid w:val="00053ACF"/>
    <w:rsid w:val="000542A6"/>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A6A3D"/>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05E08"/>
    <w:rsid w:val="00412072"/>
    <w:rsid w:val="004251FA"/>
    <w:rsid w:val="00445122"/>
    <w:rsid w:val="00445E91"/>
    <w:rsid w:val="00454E14"/>
    <w:rsid w:val="00484989"/>
    <w:rsid w:val="004951B7"/>
    <w:rsid w:val="004B34E4"/>
    <w:rsid w:val="004C4644"/>
    <w:rsid w:val="004D6150"/>
    <w:rsid w:val="00511167"/>
    <w:rsid w:val="00521CA5"/>
    <w:rsid w:val="00530FD6"/>
    <w:rsid w:val="00542E8D"/>
    <w:rsid w:val="00544791"/>
    <w:rsid w:val="00563B0B"/>
    <w:rsid w:val="00572D55"/>
    <w:rsid w:val="00584521"/>
    <w:rsid w:val="005875AB"/>
    <w:rsid w:val="0059512B"/>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573D2"/>
    <w:rsid w:val="00696473"/>
    <w:rsid w:val="006B0126"/>
    <w:rsid w:val="006B2E73"/>
    <w:rsid w:val="006C052B"/>
    <w:rsid w:val="006C3B54"/>
    <w:rsid w:val="006D7076"/>
    <w:rsid w:val="00716316"/>
    <w:rsid w:val="00721381"/>
    <w:rsid w:val="00724A76"/>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45528"/>
    <w:rsid w:val="00852D3E"/>
    <w:rsid w:val="008612BA"/>
    <w:rsid w:val="00864E00"/>
    <w:rsid w:val="008708DD"/>
    <w:rsid w:val="00877FBB"/>
    <w:rsid w:val="00880DA8"/>
    <w:rsid w:val="00883A45"/>
    <w:rsid w:val="0088609C"/>
    <w:rsid w:val="008909F9"/>
    <w:rsid w:val="0089573B"/>
    <w:rsid w:val="008A085D"/>
    <w:rsid w:val="008A3629"/>
    <w:rsid w:val="008C3486"/>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2349"/>
    <w:rsid w:val="009E6448"/>
    <w:rsid w:val="009E6F6A"/>
    <w:rsid w:val="009F6E96"/>
    <w:rsid w:val="009F7B0A"/>
    <w:rsid w:val="00A02A78"/>
    <w:rsid w:val="00A04CDD"/>
    <w:rsid w:val="00A072AF"/>
    <w:rsid w:val="00A138C8"/>
    <w:rsid w:val="00A1593A"/>
    <w:rsid w:val="00A2368B"/>
    <w:rsid w:val="00A25B60"/>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1E0"/>
    <w:rsid w:val="00CE2299"/>
    <w:rsid w:val="00CF1D9F"/>
    <w:rsid w:val="00CF235D"/>
    <w:rsid w:val="00CF7AEA"/>
    <w:rsid w:val="00D03744"/>
    <w:rsid w:val="00D11CFD"/>
    <w:rsid w:val="00D17C84"/>
    <w:rsid w:val="00D23666"/>
    <w:rsid w:val="00D23BA3"/>
    <w:rsid w:val="00D31A04"/>
    <w:rsid w:val="00D32F2D"/>
    <w:rsid w:val="00D3583C"/>
    <w:rsid w:val="00D41E4B"/>
    <w:rsid w:val="00D50E1E"/>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5733"/>
    <w:rsid w:val="00E53C4D"/>
    <w:rsid w:val="00E84B28"/>
    <w:rsid w:val="00E95FF7"/>
    <w:rsid w:val="00EA0786"/>
    <w:rsid w:val="00EA118E"/>
    <w:rsid w:val="00EA4DD8"/>
    <w:rsid w:val="00EB4207"/>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 w:type="paragraph" w:styleId="FootnoteText">
    <w:name w:val="footnote text"/>
    <w:basedOn w:val="Normal"/>
    <w:link w:val="FootnoteTextChar"/>
    <w:uiPriority w:val="99"/>
    <w:semiHidden/>
    <w:unhideWhenUsed/>
    <w:rsid w:val="00572D55"/>
    <w:rPr>
      <w:sz w:val="20"/>
      <w:szCs w:val="20"/>
    </w:rPr>
  </w:style>
  <w:style w:type="character" w:customStyle="1" w:styleId="FootnoteTextChar">
    <w:name w:val="Footnote Text Char"/>
    <w:basedOn w:val="DefaultParagraphFont"/>
    <w:link w:val="FootnoteText"/>
    <w:uiPriority w:val="99"/>
    <w:semiHidden/>
    <w:rsid w:val="00572D55"/>
    <w:rPr>
      <w:rFonts w:ascii="Arial" w:hAnsi="Arial"/>
      <w:lang w:val="en-GB" w:eastAsia="en-GB"/>
    </w:rPr>
  </w:style>
  <w:style w:type="character" w:styleId="FootnoteReference">
    <w:name w:val="footnote reference"/>
    <w:basedOn w:val="DefaultParagraphFont"/>
    <w:uiPriority w:val="99"/>
    <w:semiHidden/>
    <w:unhideWhenUsed/>
    <w:rsid w:val="00572D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 w:type="paragraph" w:styleId="FootnoteText">
    <w:name w:val="footnote text"/>
    <w:basedOn w:val="Normal"/>
    <w:link w:val="FootnoteTextChar"/>
    <w:uiPriority w:val="99"/>
    <w:semiHidden/>
    <w:unhideWhenUsed/>
    <w:rsid w:val="00572D55"/>
    <w:rPr>
      <w:sz w:val="20"/>
      <w:szCs w:val="20"/>
    </w:rPr>
  </w:style>
  <w:style w:type="character" w:customStyle="1" w:styleId="FootnoteTextChar">
    <w:name w:val="Footnote Text Char"/>
    <w:basedOn w:val="DefaultParagraphFont"/>
    <w:link w:val="FootnoteText"/>
    <w:uiPriority w:val="99"/>
    <w:semiHidden/>
    <w:rsid w:val="00572D55"/>
    <w:rPr>
      <w:rFonts w:ascii="Arial" w:hAnsi="Arial"/>
      <w:lang w:val="en-GB" w:eastAsia="en-GB"/>
    </w:rPr>
  </w:style>
  <w:style w:type="character" w:styleId="FootnoteReference">
    <w:name w:val="footnote reference"/>
    <w:basedOn w:val="DefaultParagraphFont"/>
    <w:uiPriority w:val="99"/>
    <w:semiHidden/>
    <w:unhideWhenUsed/>
    <w:rsid w:val="00572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cross.org.uk/get-involved/teaching-resources/justice-and-fairnes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edcross.org.uk/get-involved/teaching-resources/rules-of-war" TargetMode="External"/><Relationship Id="rId4" Type="http://schemas.microsoft.com/office/2007/relationships/stylesWithEffects" Target="stylesWithEffects.xml"/><Relationship Id="rId9" Type="http://schemas.openxmlformats.org/officeDocument/2006/relationships/hyperlink" Target="https://www.redcross.org.uk/get-involved/teaching-resources/creating-a-safe-inclusive-and-supportive-learning-environmen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FAEE-6FEE-428A-8A70-11A39F0D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C8AF7CD2</Template>
  <TotalTime>23</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4</cp:revision>
  <cp:lastPrinted>2018-05-22T10:25:00Z</cp:lastPrinted>
  <dcterms:created xsi:type="dcterms:W3CDTF">2018-05-22T10:23:00Z</dcterms:created>
  <dcterms:modified xsi:type="dcterms:W3CDTF">2018-05-22T10:47:00Z</dcterms:modified>
</cp:coreProperties>
</file>